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"/>
        <w:rPr/>
      </w:pPr>
      <w:r>
        <w:rPr/>
        <w:t xml:space="preserve"> </w:t>
      </w:r>
    </w:p>
    <w:p>
      <w:pPr>
        <w:pStyle w:val="LOnormal"/>
        <w:spacing w:lineRule="auto" w:line="240" w:before="12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PREGÃO ELETRÔNICO</w:t>
      </w:r>
    </w:p>
    <w:p>
      <w:pPr>
        <w:pStyle w:val="LOnormal"/>
        <w:spacing w:lineRule="auto" w:line="240" w:before="12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INSTITUTO FEDERAL DE EDUCAÇÃO, CIÊNCIA E TECNOLOGIA FARROUPILHA</w:t>
      </w:r>
    </w:p>
    <w:p>
      <w:pPr>
        <w:pStyle w:val="LOnormal"/>
        <w:spacing w:lineRule="auto" w:line="240" w:before="12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PREGÃO ELETRÔNICO SRP Nº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90034/2024</w:t>
      </w:r>
    </w:p>
    <w:p>
      <w:pPr>
        <w:pStyle w:val="LOnormal"/>
        <w:spacing w:lineRule="auto" w:line="240" w:before="12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(Processo Administrativo nº </w:t>
      </w:r>
      <w:r>
        <w:rPr>
          <w:rFonts w:eastAsia="Arial" w:cs="Arial"/>
          <w:b/>
          <w:sz w:val="22"/>
          <w:szCs w:val="22"/>
          <w:shd w:fill="auto" w:val="clear"/>
        </w:rPr>
        <w:t>23873.003831/2024-45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</w:t>
      </w:r>
    </w:p>
    <w:p>
      <w:pPr>
        <w:pStyle w:val="LOnormal"/>
        <w:spacing w:lineRule="auto" w:line="240" w:before="120" w:after="120"/>
        <w:ind w:left="283" w:hanging="0"/>
        <w:jc w:val="center"/>
        <w:rPr>
          <w:b/>
          <w:b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ANEXO VI - Instrumento de Medição de Resultado</w:t>
      </w:r>
    </w:p>
    <w:p>
      <w:pPr>
        <w:pStyle w:val="LOnormal"/>
        <w:rPr/>
      </w:pPr>
      <w:r>
        <w:rPr/>
      </w:r>
    </w:p>
    <w:p>
      <w:pPr>
        <w:pStyle w:val="LOnormal"/>
        <w:rPr/>
      </w:pPr>
      <w:r>
        <w:rPr/>
      </w:r>
    </w:p>
    <w:tbl>
      <w:tblPr>
        <w:tblStyle w:val="Table1"/>
        <w:tblW w:w="849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3457"/>
        <w:gridCol w:w="5036"/>
      </w:tblGrid>
      <w:tr>
        <w:trPr/>
        <w:tc>
          <w:tcPr>
            <w:tcW w:w="8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FBFBF" w:val="clear"/>
          </w:tcPr>
          <w:p>
            <w:pPr>
              <w:pStyle w:val="LOnormal"/>
              <w:widowControl w:val="false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Indicador 1 – Atendimento ao veículo sinistrado</w:t>
            </w:r>
          </w:p>
        </w:tc>
      </w:tr>
      <w:tr>
        <w:trPr>
          <w:trHeight w:val="31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Finalidade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/>
            </w:pPr>
            <w:r>
              <w:rPr/>
              <w:t>Garantir a celeridade no atendimento ao veículo sinistrado que necessitar de guincho e/ou encontrar-se vulnerável.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Meta a cumprir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/>
            </w:pPr>
            <w:r>
              <w:rPr/>
              <w:t>Até 2 (duas) horas a contar do telefonema do condutor.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Instrumento de Medição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/>
            </w:pPr>
            <w:r>
              <w:rPr/>
              <w:t>Registro do condutor do veículo sinistrado.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Forma de Acompanhamento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/>
            </w:pPr>
            <w:r>
              <w:rPr/>
              <w:t>Através de relatório solicitado pelo fiscal do contrato ao condutor do veículo sinistrado.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Periodicidade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/>
            </w:pPr>
            <w:r>
              <w:rPr/>
              <w:t>A cada evento.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Mecanismo de Cálculo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rPr/>
            </w:pPr>
            <w:r>
              <w:rPr/>
              <w:t>A cada solicitação de atendimento do seguro do veículo o fiscal verificará junto ao condutor o tempo despendido entre o telefonema à seguradora e o atendimento da ocorrência (chegada de socorro). O atraso acarretará em ajustes no pagamento do valor da franquia.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Início da vigência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rPr/>
            </w:pPr>
            <w:r>
              <w:rPr/>
              <w:t>A partir do primeiro dia da vigência da apólice.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Faixa de ajuste no pagamento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rPr/>
            </w:pPr>
            <w:r>
              <w:rPr/>
              <w:t>Atraso de até 30 min – desconto de 2% do valor da franquia</w:t>
            </w:r>
          </w:p>
          <w:p>
            <w:pPr>
              <w:pStyle w:val="LOnormal"/>
              <w:widowControl w:val="false"/>
              <w:rPr/>
            </w:pPr>
            <w:r>
              <w:rPr/>
              <w:t>Atraso de 30 min à 1 hora – desconto de 4% do valor da franquia</w:t>
            </w:r>
          </w:p>
          <w:p>
            <w:pPr>
              <w:pStyle w:val="LOnormal"/>
              <w:widowControl w:val="false"/>
              <w:rPr/>
            </w:pPr>
            <w:r>
              <w:rPr/>
              <w:t>Atraso de 1 a 2 horas – desconto de 6% do valor da franquia</w:t>
            </w:r>
          </w:p>
          <w:p>
            <w:pPr>
              <w:pStyle w:val="LOnormal"/>
              <w:widowControl w:val="false"/>
              <w:rPr/>
            </w:pPr>
            <w:r>
              <w:rPr/>
              <w:t>Atraso superior a 2 horas – desconto de 10% do valor da franquia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  <w:t xml:space="preserve"> </w:t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Sanções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rPr/>
            </w:pPr>
            <w:r>
              <w:rPr/>
              <w:t>Atrasos superiores a 2 horas ensejarão a aplicação de sanções previstas em contrato.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Observações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/>
              <w:t>Para os atendimentos sem pagamento de franquia a avaliação do atendimento será realizada pela equipe de fiscalização e poderão acarretar a aplicação de sanções previstas em contrato para os casos de atrasos de acordo com a gravidade e reincidência.</w:t>
            </w:r>
          </w:p>
        </w:tc>
      </w:tr>
    </w:tbl>
    <w:p>
      <w:pPr>
        <w:pStyle w:val="LOnormal"/>
        <w:rPr/>
      </w:pPr>
      <w:r>
        <w:rPr/>
      </w:r>
      <w:bookmarkStart w:id="0" w:name="_heading=h.gjdgxs"/>
      <w:bookmarkStart w:id="1" w:name="_heading=h.gjdgxs"/>
      <w:bookmarkEnd w:id="1"/>
    </w:p>
    <w:p>
      <w:pPr>
        <w:pStyle w:val="LOnormal"/>
        <w:rPr/>
      </w:pPr>
      <w:r>
        <w:rPr/>
      </w:r>
    </w:p>
    <w:tbl>
      <w:tblPr>
        <w:tblStyle w:val="Table2"/>
        <w:tblW w:w="849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3457"/>
        <w:gridCol w:w="5036"/>
      </w:tblGrid>
      <w:tr>
        <w:trPr/>
        <w:tc>
          <w:tcPr>
            <w:tcW w:w="8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FBFBF" w:val="clear"/>
          </w:tcPr>
          <w:p>
            <w:pPr>
              <w:pStyle w:val="LOnormal"/>
              <w:widowControl w:val="false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Indicador 2 – Conserto/indenização de veículo sinistrado</w:t>
            </w:r>
          </w:p>
        </w:tc>
      </w:tr>
      <w:tr>
        <w:trPr>
          <w:trHeight w:val="31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Finalidade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/>
            </w:pPr>
            <w:r>
              <w:rPr/>
              <w:t>Garantir a celeridade no atendimento ao veículo que necessite de encaminhamento à oficina para reparos ou indenização.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Meta a cumprir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/>
            </w:pPr>
            <w:r>
              <w:rPr/>
              <w:t>Até 30 dias para indenização;</w:t>
            </w:r>
          </w:p>
          <w:p>
            <w:pPr>
              <w:pStyle w:val="LOnormal"/>
              <w:widowControl w:val="false"/>
              <w:rPr/>
            </w:pPr>
            <w:r>
              <w:rPr/>
              <w:t>Cumprimento do cronograma apresentado para conserto do veículo;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Instrumento de Medição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/>
            </w:pPr>
            <w:r>
              <w:rPr/>
              <w:t>Registro do fiscal técnico do contrato.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Forma de Acompanhamento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/>
            </w:pPr>
            <w:r>
              <w:rPr/>
              <w:t>In loco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Periodicidade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/>
            </w:pPr>
            <w:r>
              <w:rPr/>
              <w:t>A cada evento.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Mecanismo de Cálculo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rPr/>
            </w:pPr>
            <w:r>
              <w:rPr/>
              <w:t>A cada solicitação de atendimento do seguro do veículo o fiscal verificará o tempo despendido entre a solicitação de indenização ou envio do veículo à oficina, e o atendimento da ocorrência. O atraso acarretará em ajustes no pagamento do valor da franquia.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Início da vigência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rPr/>
            </w:pPr>
            <w:r>
              <w:rPr/>
              <w:t>A partir do primeiro dia da vigência da apólice.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Faixa de ajuste no pagamento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rPr/>
            </w:pPr>
            <w:r>
              <w:rPr/>
              <w:t>Conserto/indenização do veículo sinistrado após 10 dias do tempo proposto – desconto de 2% do valor da franquia</w:t>
            </w:r>
          </w:p>
          <w:p>
            <w:pPr>
              <w:pStyle w:val="LOnormal"/>
              <w:widowControl w:val="false"/>
              <w:rPr/>
            </w:pPr>
            <w:r>
              <w:rPr/>
              <w:t>Conserto/indenização do veículo sinistrado após 15 dias do tempo proposto – desconto de 4% do valor da franquia</w:t>
            </w:r>
          </w:p>
          <w:p>
            <w:pPr>
              <w:pStyle w:val="LOnormal"/>
              <w:widowControl w:val="false"/>
              <w:rPr/>
            </w:pPr>
            <w:r>
              <w:rPr/>
              <w:t>Conserto/indenização do veículo sinistrado após 30 dias do tempo proposto – desconto de 6% do valor da franquia</w:t>
            </w:r>
          </w:p>
          <w:p>
            <w:pPr>
              <w:pStyle w:val="LOnormal"/>
              <w:widowControl w:val="false"/>
              <w:rPr/>
            </w:pPr>
            <w:r>
              <w:rPr/>
              <w:t>Conserto/indenização do veículo sinistrado acima de 30 dias do tempo proposto – desconto de 10% do valor da franquia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  <w:t xml:space="preserve"> </w:t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Sanções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rPr/>
            </w:pPr>
            <w:r>
              <w:rPr/>
              <w:t>Conserto/indenização do veículo sinistrado acima de 30 dias do tempo proposto ensejará a aplicação de sanções previstas em contrato.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  <w:tr>
        <w:trPr>
          <w:trHeight w:val="26" w:hRule="atLeast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LOnormal"/>
              <w:widowControl w:val="false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</w:rPr>
              <w:t>Observações</w:t>
            </w:r>
          </w:p>
        </w:tc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rPr/>
            </w:pPr>
            <w:r>
              <w:rPr/>
              <w:t>Para os consertos sem pagamento de franquia a avaliação do atendimento será realizada pela equipe de fiscalização e poderão acarretar a aplicação de sanções previstas em contrato para os casos de atrasos de acordo com a gravidade e reincidência.</w:t>
            </w:r>
          </w:p>
          <w:p>
            <w:pPr>
              <w:pStyle w:val="LO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</w:tr>
    </w:tbl>
    <w:p>
      <w:pPr>
        <w:pStyle w:val="LOnormal"/>
        <w:spacing w:lineRule="auto" w:line="240"/>
        <w:rPr/>
      </w:pPr>
      <w:r>
        <w:rPr/>
      </w:r>
    </w:p>
    <w:p>
      <w:pPr>
        <w:pStyle w:val="LOnormal"/>
        <w:spacing w:lineRule="auto" w:line="360"/>
        <w:ind w:right="-568"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Parecer da Fiscalização</w:t>
      </w:r>
    </w:p>
    <w:p>
      <w:pPr>
        <w:pStyle w:val="LOnormal"/>
        <w:spacing w:lineRule="auto" w:line="360"/>
        <w:ind w:right="-568" w:hanging="0"/>
        <w:jc w:val="center"/>
        <w:rPr/>
      </w:pPr>
      <w:r>
        <w:rPr/>
        <w:t>(descrever conforme o caso)</w:t>
      </w:r>
    </w:p>
    <w:p>
      <w:pPr>
        <w:pStyle w:val="LOnormal"/>
        <w:jc w:val="center"/>
        <w:rPr>
          <w:color w:val="FF0000"/>
        </w:rPr>
      </w:pPr>
      <w:r>
        <w:rPr>
          <w:color w:val="FF0000"/>
        </w:rPr>
        <w:t>Informamos que será aplicado o IMR nos seguintes termos/Informamos que não há necessidade de aplicação do IMR</w:t>
      </w:r>
    </w:p>
    <w:p>
      <w:pPr>
        <w:pStyle w:val="LOnormal"/>
        <w:jc w:val="right"/>
        <w:rPr/>
      </w:pPr>
      <w:r>
        <w:rPr/>
        <w:t>Município , data</w:t>
      </w:r>
    </w:p>
    <w:p>
      <w:pPr>
        <w:pStyle w:val="LOnormal"/>
        <w:jc w:val="right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113" w:top="1417" w:footer="283" w:bottom="1417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tabs>
        <w:tab w:val="clear" w:pos="720"/>
        <w:tab w:val="center" w:pos="4252" w:leader="none"/>
        <w:tab w:val="right" w:pos="8504" w:leader="none"/>
      </w:tabs>
      <w:ind w:right="-7" w:hanging="0"/>
      <w:jc w:val="center"/>
      <w:rPr>
        <w:rFonts w:ascii="Times New Roman" w:hAnsi="Times New Roman" w:eastAsia="Times New Roman" w:cs="Times New Roman"/>
        <w:sz w:val="16"/>
        <w:szCs w:val="16"/>
      </w:rPr>
    </w:pPr>
    <w:r>
      <w:rPr>
        <w:rFonts w:eastAsia="Times New Roman" w:cs="Times New Roman" w:ascii="Times New Roman" w:hAnsi="Times New Roman"/>
        <w:sz w:val="18"/>
        <w:szCs w:val="18"/>
      </w:rPr>
      <w:t>_________________________________________________________________________________________</w:t>
    </w:r>
    <w:r>
      <w:rPr>
        <w:rFonts w:eastAsia="Times New Roman" w:cs="Times New Roman" w:ascii="Times New Roman" w:hAnsi="Times New Roman"/>
        <w:sz w:val="16"/>
        <w:szCs w:val="16"/>
      </w:rPr>
      <w:t>______</w:t>
    </w:r>
  </w:p>
  <w:p>
    <w:pPr>
      <w:pStyle w:val="LOnormal"/>
      <w:tabs>
        <w:tab w:val="clear" w:pos="720"/>
        <w:tab w:val="center" w:pos="4252" w:leader="none"/>
        <w:tab w:val="right" w:pos="8504" w:leader="none"/>
      </w:tabs>
      <w:ind w:right="-7" w:hanging="0"/>
      <w:jc w:val="center"/>
      <w:rPr>
        <w:rFonts w:ascii="Times New Roman" w:hAnsi="Times New Roman" w:eastAsia="Times New Roman" w:cs="Times New Roman"/>
        <w:sz w:val="16"/>
        <w:szCs w:val="16"/>
        <w:highlight w:val="white"/>
      </w:rPr>
    </w:pPr>
    <w:r>
      <w:rPr>
        <w:rFonts w:eastAsia="Times New Roman" w:cs="Times New Roman" w:ascii="Times New Roman" w:hAnsi="Times New Roman"/>
        <w:sz w:val="16"/>
        <w:szCs w:val="16"/>
        <w:highlight w:val="white"/>
      </w:rPr>
      <w:t>Instituto Federal de Educação, Ciência e Tecnologia</w:t>
    </w:r>
    <w:r>
      <w:rPr>
        <w:rFonts w:eastAsia="Times New Roman" w:cs="Times New Roman" w:ascii="Times New Roman" w:hAnsi="Times New Roman"/>
        <w:b/>
        <w:sz w:val="16"/>
        <w:szCs w:val="16"/>
        <w:highlight w:val="white"/>
      </w:rPr>
      <w:t> </w:t>
    </w:r>
    <w:r>
      <w:rPr>
        <w:rFonts w:eastAsia="Times New Roman" w:cs="Times New Roman" w:ascii="Times New Roman" w:hAnsi="Times New Roman"/>
        <w:sz w:val="16"/>
        <w:szCs w:val="16"/>
        <w:highlight w:val="white"/>
      </w:rPr>
      <w:t>Farroupilha</w:t>
    </w:r>
    <w:r>
      <w:rPr>
        <w:rFonts w:eastAsia="Times New Roman" w:cs="Times New Roman" w:ascii="Times New Roman" w:hAnsi="Times New Roman"/>
        <w:sz w:val="16"/>
        <w:szCs w:val="16"/>
      </w:rPr>
      <w:br/>
    </w:r>
    <w:r>
      <w:rPr>
        <w:rFonts w:eastAsia="Times New Roman" w:cs="Times New Roman" w:ascii="Times New Roman" w:hAnsi="Times New Roman"/>
        <w:sz w:val="16"/>
        <w:szCs w:val="16"/>
        <w:highlight w:val="white"/>
      </w:rPr>
      <w:t>Alameda Santiago do Chile, 195 - Nossa Sra. Das Dores - CEP 97050-685 - Santa Maria - RS. Telefone: (55) 3218-9814/9815</w:t>
    </w:r>
  </w:p>
  <w:p>
    <w:pPr>
      <w:pStyle w:val="LOnormal"/>
      <w:tabs>
        <w:tab w:val="clear" w:pos="720"/>
        <w:tab w:val="center" w:pos="4252" w:leader="none"/>
        <w:tab w:val="right" w:pos="8504" w:leader="none"/>
      </w:tabs>
      <w:ind w:right="-15" w:hanging="0"/>
      <w:jc w:val="center"/>
      <w:rPr>
        <w:rFonts w:ascii="Times New Roman" w:hAnsi="Times New Roman" w:eastAsia="Times New Roman" w:cs="Times New Roman"/>
        <w:sz w:val="16"/>
        <w:szCs w:val="16"/>
      </w:rPr>
    </w:pPr>
    <w:r>
      <w:rPr>
        <w:rFonts w:eastAsia="Times New Roman" w:cs="Times New Roman" w:ascii="Times New Roman" w:hAnsi="Times New Roman"/>
        <w:sz w:val="16"/>
        <w:szCs w:val="16"/>
      </w:rPr>
      <w:t>Edital de Pregão Eletrônico 11.2023 - Serviço de Seguro Veicular.</w:t>
    </w:r>
  </w:p>
  <w:p>
    <w:pPr>
      <w:pStyle w:val="LOnormal"/>
      <w:tabs>
        <w:tab w:val="clear" w:pos="720"/>
        <w:tab w:val="center" w:pos="4252" w:leader="none"/>
        <w:tab w:val="right" w:pos="8504" w:leader="none"/>
      </w:tabs>
      <w:ind w:right="-15" w:hanging="0"/>
      <w:jc w:val="right"/>
      <w:rPr>
        <w:rFonts w:ascii="Times New Roman" w:hAnsi="Times New Roman" w:eastAsia="Times New Roman" w:cs="Times New Roman"/>
        <w:sz w:val="16"/>
        <w:szCs w:val="16"/>
      </w:rPr>
    </w:pPr>
    <w:r>
      <w:rPr>
        <w:rFonts w:eastAsia="Times New Roman" w:cs="Times New Roman" w:ascii="Times New Roman" w:hAnsi="Times New Roman"/>
        <w:sz w:val="16"/>
        <w:szCs w:val="16"/>
      </w:rPr>
      <w:t xml:space="preserve">Lauda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>
        <w:rFonts w:eastAsia="Times New Roman" w:cs="Times New Roman" w:ascii="Times New Roman" w:hAnsi="Times New Roman"/>
        <w:sz w:val="16"/>
        <w:szCs w:val="16"/>
      </w:rPr>
      <w:t xml:space="preserve"> de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LOnormal"/>
      <w:tabs>
        <w:tab w:val="clear" w:pos="720"/>
        <w:tab w:val="center" w:pos="4252" w:leader="none"/>
        <w:tab w:val="right" w:pos="8504" w:leader="none"/>
      </w:tabs>
      <w:jc w:val="center"/>
      <w:rPr>
        <w:sz w:val="16"/>
        <w:szCs w:val="16"/>
      </w:rPr>
    </w:pPr>
    <w:r>
      <w:rPr>
        <w:sz w:val="16"/>
        <w:szCs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tabs>
        <w:tab w:val="clear" w:pos="720"/>
        <w:tab w:val="center" w:pos="4252" w:leader="none"/>
        <w:tab w:val="left" w:pos="4735" w:leader="none"/>
        <w:tab w:val="right" w:pos="8504" w:leader="none"/>
      </w:tabs>
      <w:spacing w:lineRule="auto" w:line="276" w:before="120" w:after="120"/>
      <w:ind w:right="-28" w:hanging="0"/>
      <w:jc w:val="center"/>
      <w:rPr>
        <w:color w:val="000000"/>
      </w:rPr>
    </w:pPr>
    <w:r>
      <w:rPr/>
      <w:drawing>
        <wp:inline distT="0" distB="0" distL="0" distR="0">
          <wp:extent cx="4641215" cy="97155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641215" cy="971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rsid w:val="0014505a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zh-CN" w:bidi="hi-IN"/>
    </w:rPr>
  </w:style>
  <w:style w:type="paragraph" w:styleId="Ttulo1">
    <w:name w:val="Heading 1"/>
    <w:basedOn w:val="LOnormal"/>
    <w:next w:val="LO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normal"/>
    <w:next w:val="LO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normal"/>
    <w:next w:val="LO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normal"/>
    <w:next w:val="LO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</w:rPr>
  </w:style>
  <w:style w:type="paragraph" w:styleId="Ttulo5">
    <w:name w:val="Heading 5"/>
    <w:basedOn w:val="LOnormal"/>
    <w:next w:val="LO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normal"/>
    <w:next w:val="LO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8e7eb0"/>
    <w:rPr>
      <w:rFonts w:ascii="Arial" w:hAnsi="Arial" w:eastAsia="Times New Roman" w:cs="Tahoma"/>
      <w:sz w:val="20"/>
      <w:szCs w:val="24"/>
      <w:lang w:eastAsia="pt-BR"/>
    </w:rPr>
  </w:style>
  <w:style w:type="character" w:styleId="RodapChar" w:customStyle="1">
    <w:name w:val="Rodapé Char"/>
    <w:basedOn w:val="DefaultParagraphFont"/>
    <w:uiPriority w:val="99"/>
    <w:qFormat/>
    <w:rsid w:val="008e7eb0"/>
    <w:rPr>
      <w:rFonts w:ascii="Arial" w:hAnsi="Arial" w:eastAsia="Times New Roman" w:cs="Tahoma"/>
      <w:sz w:val="20"/>
      <w:szCs w:val="24"/>
      <w:lang w:eastAsia="pt-BR"/>
    </w:rPr>
  </w:style>
  <w:style w:type="character" w:styleId="LinkdaInternet">
    <w:name w:val="Hyperlink"/>
    <w:rsid w:val="00f1622d"/>
    <w:rPr>
      <w:color w:val="000080"/>
      <w:u w:val="single"/>
    </w:rPr>
  </w:style>
  <w:style w:type="character" w:styleId="Linkdainternetvisitado">
    <w:name w:val="FollowedHyperlink"/>
    <w:basedOn w:val="DefaultParagraphFont"/>
    <w:uiPriority w:val="99"/>
    <w:semiHidden/>
    <w:unhideWhenUsed/>
    <w:rsid w:val="00f1622d"/>
    <w:rPr>
      <w:color w:val="954F72" w:themeColor="followedHyperlink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normal" w:default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0"/>
      <w:szCs w:val="20"/>
      <w:lang w:val="pt-BR" w:eastAsia="zh-CN" w:bidi="hi-IN"/>
    </w:rPr>
  </w:style>
  <w:style w:type="paragraph" w:styleId="Ttulododocumento">
    <w:name w:val="Title"/>
    <w:basedOn w:val="LOnormal"/>
    <w:next w:val="LO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LOnormal"/>
    <w:link w:val="CabealhoChar"/>
    <w:uiPriority w:val="99"/>
    <w:unhideWhenUsed/>
    <w:rsid w:val="008e7eb0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LOnormal"/>
    <w:link w:val="RodapChar"/>
    <w:unhideWhenUsed/>
    <w:rsid w:val="008e7eb0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Legenda1" w:customStyle="1">
    <w:name w:val="Legenda1"/>
    <w:basedOn w:val="LOnormal"/>
    <w:next w:val="LOnormal"/>
    <w:qFormat/>
    <w:rsid w:val="008e7eb0"/>
    <w:pPr>
      <w:suppressAutoHyphens w:val="true"/>
      <w:jc w:val="center"/>
    </w:pPr>
    <w:rPr>
      <w:rFonts w:ascii="Times New Roman" w:hAnsi="Times New Roman" w:cs="Times New Roman"/>
      <w:sz w:val="54"/>
      <w:szCs w:val="20"/>
      <w:lang w:eastAsia="ar-SA"/>
    </w:rPr>
  </w:style>
  <w:style w:type="paragraph" w:styleId="Subttulo">
    <w:name w:val="Subtitle"/>
    <w:basedOn w:val="LOnormal"/>
    <w:next w:val="LOnormal"/>
    <w:uiPriority w:val="1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gPI1z6wzwJT+puARonhE2kOmTljA==">AMUW2mUhrCX8s38JKes2XJiBDr7v4w38FQOKD7KBPUvNiqn1QiYdF326JG0Tl+KA3VBXtv0CACMLe9vJ/znOtsDTqRulcY1AuLkp4mww5C+uJFH9MHQ/iaq4J4saDwjGtKo6C2P/ntc4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LibreOffice/7.4.7.2$Windows_X86_64 LibreOffice_project/723314e595e8007d3cf785c16538505a1c878ca5</Application>
  <AppVersion>15.0000</AppVersion>
  <Pages>2</Pages>
  <Words>578</Words>
  <Characters>3249</Characters>
  <CharactersWithSpaces>3778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2018-04-10T18:44:00Z</dcterms:created>
  <dc:creator>Marcia</dc:creator>
  <dc:description/>
  <dc:language>pt-BR</dc:language>
  <cp:lastModifiedBy/>
  <dcterms:modified xsi:type="dcterms:W3CDTF">2024-09-30T13:43:13Z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